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4"/>
              </w:rPr>
              <w:t xml:space="preserve"> Izvještaj o sprovođenju plana integriteta za 2020. godinu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 JU Škola za osnovno muzičko obrazovanje Herceg Novi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REGISTAR RIZIKA</w:t>
            </w:r>
          </w:p>
        </w:tc>
        <w:tc>
          <w:tcPr>
            <w:gridSpan w:val="5"/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PROCJENE I MJERENJE RIZIKA</w:t>
            </w:r>
          </w:p>
        </w:tc>
        <w:tc>
          <w:tcPr>
            <w:gridSpan w:val="3"/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REAGOVANJE NA RIZIK</w:t>
            </w:r>
          </w:p>
        </w:tc>
        <w:tc>
          <w:tcPr>
            <w:gridSpan w:val="2"/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PREGLED I IZVJEŠTAVANJE O RIZICIMA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Oblasti rizika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Radna mjesta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Osnovni rizici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Postojeće mjere kontrole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Preostali rizici(rezidualni)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Vjer.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Posljedice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Procjena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Predložene mjere za smanjenje/otklanjanje rizika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Ogovorna osoba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Rok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St.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Kratak opis i ocjena realizacije mjere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9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8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Dobijanje saglasnost od strane Ministarstva prosvjete da su obezbieđena finansijska sredstva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Zasnivanje radnog odnosa na osnovu objektivnih kriterijuma i transparentnih procedura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dosljedna primjena propisanih pravila i kriterijuma za</w:t>
                          <w:br/>
                          <w:t xml:space="preserve">prijem u radni odnos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Dobijena Saglasnost od strane Ministarstva prosvjete da su obezbjeđena sredstva za potrebna radna mjesta, raspisan konkurs i zaključeni Ugovori o radu </w:t>
                        </w:r>
                      </w:p>
                    </w:tc>
                  </w:tr>
                  <w:tr>
                    <w:trPr>
                      <w:trHeight w:hRule="exact" w:val="2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6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 Interni akti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6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uticajem eksternih i drugih neprihvatljivih uticaja</w:t>
                          <w:br/>
                          <w:t xml:space="preserve">Upotreba širokih diskrecionih ovlašćenja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Jačanje transparentnost prilikom donošenja odluka, propisa i drugih opštih akata</w:t>
                          <w:br/>
                          <w:t xml:space="preserve">Vršenje redovne kontrole u procesu odluičivanja i usaglašenosti odluka sa zakonom 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Uredjeno Statutom JUŠOMO, formirana komisija za izbor drugih zaposlenih</w:t>
                        </w:r>
                      </w:p>
                    </w:tc>
                  </w:tr>
                  <w:tr>
                    <w:trPr>
                      <w:trHeight w:hRule="exact" w:val="12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položaja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Opasnost od  nedosljednosti  prilikom  zapošljavanja i  produžavanja  ugovora o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Novi pristup i kontola zapošljava nja kroz analizu opterečenja zaposlenih i potrebe za novim kadrovima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Izrada  sistematizacije po odsjecima na osnovu broja upisanih đaka, analiza ugovora o dopunskom  radu ,</w:t>
                          <w:br/>
                          <w:t xml:space="preserve">usaglašavanje svake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Sve odluke , propisi i opšti akti istaknuti na oglasnoj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Komisija za prijem drugih radnika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položaja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dopunskom radu,minimumu  prosječne ocjene kao uslov za angažman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Novi pristup i kontola zapošljava nja kroz analizu opterečenja zaposlenih i potrebe za novim kadrovima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školske godine sa realnim potrebama,</w:t>
                          <w:br/>
                          <w:t xml:space="preserve">povećanje transparentnosti postupka objavljivanje  potrebe  na sajtu škole</w:t>
                          <w:br/>
                          <w:t xml:space="preserve">Javan rad Komisije za prijem drugih ra Obavjestiti sve zaposlene o prijemu prijava za zapošljavanje dnika </w:t>
                          <w:br/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tabli i sajtu škole .</w:t>
                        </w: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7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7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sprječavanje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nepotpuno dostavljanje izvještaja o imovini i prihodima javnih funkcionera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dostavljati izvještaje o imovini i prihodima  javnih funkcionera Agenciji za sprječavanje korupcije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Dostavljen izvještaje o imovini i prihodima javnih funkcionera Agenciji za sprječavanje korupcije</w:t>
                        </w:r>
                      </w:p>
                    </w:tc>
                  </w:tr>
                  <w:tr>
                    <w:trPr>
                      <w:trHeight w:hRule="exact" w:val="14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6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Primanje nedozvoljenih poklona ili druge nedozvoljene koristi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sprječavanje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Primanje pokolona suprotno odredbama Zakona o sprječavanju korupcije</w:t>
                          <w:br/>
                          <w:t xml:space="preserve">Nepoštovanje zakonske obaveze  evidentiranja primljenih poklona i njihove vrijednosti</w:t>
                          <w:br/>
                          <w:t xml:space="preserve">Nedostavljanje Agenciji za sprječavanje korupcije izvodi iz evidencije poklona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Donešen Pravilnik o načinu vođenja registra sponzorstava i donacija i sadržini izvještaja o primjenim sponzorstvima i donacijama. </w:t>
                          <w:br/>
                          <w:t xml:space="preserve">Dostaviti Agenciji za sprječavanje korupcije pisani izvještaj o primjenim sponzorstvima i donacijama sa kopijom dokumentacije u vezi sa tim sponzorstvima i donacijama  na propisanom obrascu za prethodnu godinu do kraja marta tekuće godine za prethodnu godinu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Donijet Pravilnikj o sadržaju i načinu vođenja evidencije poklona.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67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66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2.4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sprječavanje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67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Nije određeno lice za prijem i postupanje po prijavi zviždača</w:t>
                          <w:br/>
                          <w:t xml:space="preserve">Neadekvatno postupanje po prijavama zviždača</w:t>
                          <w:br/>
                          <w:t xml:space="preserve">Narušavanje zaštite identiteta i prava zviždača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Odrediti lice za prijem i postupanje po prijavi zviždača</w:t>
                          <w:br/>
                          <w:t xml:space="preserve">Donijeti interno uputstvo za evidenciju prijava korupcijeunutar institucije i postupanje po prijavama , kao i zaštitu identiteta lica koje je podnijelo prijavu</w:t>
                          <w:br/>
                          <w:t xml:space="preserve">Obezbijediti zaštitu zviždača od svih oblika diskriminacije i ograničenja i uskraćivanja prava zviždača</w:t>
                          <w:br/>
                          <w:t xml:space="preserve">Obavještavati zviždače o mjerama koje su preduzete po njihovoj prijavi</w:t>
                          <w:br/>
                          <w:t xml:space="preserve">Postupati po preporukama Agencije za sprječavanje korupcije (u slučajevimakad Agencija sprovodi postupak po prijavi), i izvještavati Agenciju o preduzetim radnjama</w:t>
                          <w:br/>
                          <w:t xml:space="preserve">Vršiti kontinuiranu obuku zaposlenih na temu etike i integriteta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Djelimično realizovano</w:t>
                          <w:br/>
                          <w:br/>
                          <w:t xml:space="preserve">Određeno lice za prrijem i postupanje po prijavi zviždača, nismo imali prijave</w:t>
                        </w:r>
                      </w:p>
                    </w:tc>
                  </w:tr>
                  <w:tr>
                    <w:trPr>
                      <w:trHeight w:hRule="exact" w:val="5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transparentnost trošenja sredstava i zapošljavanja u toku izborne kampanje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finansiranju političkih subjekata i izbornih kampanja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transparentnost trošenja sredstava i zapošljavanja u toku izborne kampanje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u toku izborne kampanje objavljivati i dostavljati Agenciji za sprječavanje korupcije sve dokumente shodno Zakona o finansiranju političkih subjekata i izbornih kampanja( analitičke kartice , putne naloge i odluke o zapošljavanju sa pratećom dokumentacijom)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 toku izborna kampanje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Dokumentacija je dostavljena Agenciji za sprječavanje korupcije</w:t>
                        </w:r>
                      </w:p>
                    </w:tc>
                  </w:tr>
                  <w:tr>
                    <w:trPr>
                      <w:trHeight w:hRule="exact" w:val="18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Nastavnici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i smanjenje povjerenja javnosti u rad institucije zbog nedovoljne transparentnosti i informisanosti javnosti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Proaktivno objavljivanje informacija iz člana 12 Zakona o slobodnom pristupu informacija i druge informacije od javnog interesa uz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Omogućen je pristup relevantnih dokumenata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Nastavnici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Nastavnici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principa transparentnosti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 radu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odgovarajući način zaštite ličnih podataka koji su od značaja za privatnost i podataka koji su označeni stepenom tajnosti u skladu sa zakonom.</w:t>
                          <w:br/>
                          <w:t xml:space="preserve">Omogućiti dostupnost relevantnih dokumenata na web stranici, stranici škole na facebook-u, na oglasnoj tabli i sl.</w:t>
                          <w:br/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 web stranici, škole na facebook-u, na oglasnim tablama i medijima.</w:t>
                        </w: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0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0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računovođa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Nepodnošenje kvartalnih finansijskih izvještaja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Pravilnik, interna kontrola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0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Netransparentnost u postupku raspolaganja budžetskim sredstavima</w:t>
                          <w:br/>
                          <w:t xml:space="preserve">Neracionalno trošenje budžetskih sredstava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 dostavljanje kvartalnih finansijskih izvještaja o raspolaganju budžetskim sredstvima u skladu sa Pravilnikom o načinu sačinjavanja i podnošenja finasijskih izvještaja budžeta, državnih fondova i jednica lokalne samouprave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računovođa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Kontinuirano  se dostavljaju  kvartalni finansijski izvještaji o raspolaganju budžetskim sredstvima u skladu sa Pravilnikom o načinu sačinjavanja i podnošenja finasijskih izvještaja budžeta.</w:t>
                        </w:r>
                      </w:p>
                    </w:tc>
                  </w:tr>
                  <w:tr>
                    <w:trPr>
                      <w:trHeight w:hRule="exact" w:val="27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7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7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  Podzakonski akti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 u postupku javnih nabavki</w:t>
                          <w:br/>
                          <w:t xml:space="preserve">Odstupanje od zakonskih procedura</w:t>
                          <w:br/>
                          <w:t xml:space="preserve">Prekoračenje i zloupotreba službenih nadležnosti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plana javnih nabavki za tekuću godinu do kraja januara tekuće godine</w:t>
                          <w:br/>
                          <w:t xml:space="preserve">Podnošenje izvještaja o sprovedenim postupcima javnih nabavki na godišnjem nivou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Donošen je plana javnih nabavki za 2021 godinu  i objavljen na sajtu UJN, podnešeni su izvještaji za 2020 godinu</w:t>
                        </w:r>
                      </w:p>
                    </w:tc>
                  </w:tr>
                  <w:tr>
                    <w:trPr>
                      <w:trHeight w:hRule="exact" w:val="1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0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9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službenih podataka.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Kontrola korišćenja diskrecionih ovlašćenja zaposlenih.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Pristup podacima od strane neovlašćenih lica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Jačanje transparentnosti rada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Rad sekretara je transparentan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službenih podataka.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Kontrola korišćenja diskrecionih ovlašćenja zaposlenih.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Pristup podacima od strane neovlašćenih lica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2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2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sekretar-računovođa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ICT koordinator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bezbjednosti službenih podataka i dokumentata Nesavjestan i nestručan rad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Pojačan stručni nadzor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Pravilnici i uputstva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2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Neadekvatna evidencija i čuvanje službenih podataka i dokumenata</w:t>
                          <w:br/>
                          <w:t xml:space="preserve">Curenje povjerljivih informacija sadržanih u MEIS aplikaciji</w:t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Redovna kontrola podataka u MEIS aplikaciji</w:t>
                          <w:br/>
                          <w:t xml:space="preserve">Pojačati nadzor </w:t>
                          <w:br/>
                          <w:t xml:space="preserve">Stručna pomoć nastavnom osoblju o MEIS aplikaciji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direktorica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Redovna kontrola podataka u MEIS aplikaciji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sekretar-računovođa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ICT koordinator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6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Preporučivanje uzimanja dopunskih časova; uslovljavanje pripreme za godišnji  ispit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nastavno osoblje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Odredbe Etičkog kodeksa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Sporadični slučajevi uzimanja dopunskih časova i uslovljavanje učenika; favorizovanje učenika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Intenzivirati  saradnju sa roditeljima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nastavno osoblje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Intenzivirana saradnja sa roditeljima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8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8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6.1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Pribavljanje materijalne koristi na osnovu korišćenja školskih instrumenata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nastavno osoblje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Saradnja sa roditeljima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8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Sporadični slučajevi; Uslovljavanje učenika da iznajmljuju školske instrumente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Pojačati saradnju sa roditeljima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nastavno osoblje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Saradnja sa roditeljima je na zavidnom nivou</w:t>
                        </w:r>
                      </w:p>
                    </w:tc>
                  </w:tr>
                  <w:tr>
                    <w:trPr>
                      <w:trHeight w:hRule="exact" w:val="4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7.1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2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lobiranje, drugi nejavni uticaj ili drugi oblici kršenja principa transparentnosti ; Narušavanje integriteta institucije; Gubitak  povjerenja građana u rad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saradnja sa drugim muzičkim školama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Povećati broj informacija o radu škole po sopstvenoj inicijativi na zahtjev medija i javnosti</w:t>
                          <w:br/>
                          <w:t xml:space="preserve">Sprovoditi ispitivanja javnog mnenja o radu institucije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Realizovano</w:t>
                          <w:br/>
                          <w:br/>
                          <w:t xml:space="preserve">Određen službenik  zadužen za odnose sa javnošću, transparentan rad škole</w:t>
                        </w:r>
                      </w:p>
                    </w:tc>
                  </w:tr>
                  <w:tr>
                    <w:trPr>
                      <w:trHeight w:hRule="exact" w:val="10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30.03.2022.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4200"/>
        <w:gridCol w:w="4800"/>
        <w:gridCol w:w="1400"/>
        <w:gridCol w:w="5600"/>
        <w:gridCol w:w="40"/>
      </w:tblGrid>
      <w:tr>
        <w:trPr>
          <w:trHeight w:hRule="exact" w:val="20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PODNOSILAC IZVJEŠTAJA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STARJEŠINA/ODGOVORNO LICE U ORGANU VLASTI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Menadžer integriteta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2"/>
                <w:b w:val="true"/>
              </w:rPr>
              <w:t xml:space="preserve">__________________________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narandzasta">
    <w:name w:val="narandzast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lena">
    <w:name w:val="zel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rvena">
    <w:name w:val="crv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Style1">
    <w:name w:val="Style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